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eastAsia" w:ascii="sans-serif" w:hAnsi="sans-serif" w:eastAsia="宋体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69865" cy="2049780"/>
            <wp:effectExtent l="0" t="0" r="6985" b="762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Products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Upon reaching full design capacity in 2031, product range will be as follows: implants – 30 thousand; gum shapers – 21 thousand; abutments – 21 thousand; fixing screws – 21 thousand; transfer coping and equivalents – 21 thousand. The Initiator is planning for 44% of product to be sold domestically in Kazakhstan, with the remainder exported to Central Asian countries such as Uzbekistan, Kyrgyzstan, Tajikistan and Turkmenistan.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Project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This investment project envisages the construction of a plant to produce dental implants and protectors at the “Innovative Technology Park” Special Economic Zone in Almaty. Plant production capacity is up to 120 thousand items per year.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Current Project status: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The Initiator has identified the supplier of production equipment as the Japanese company TSUGAMI. The following feedstock suppliers have also been identified: Zapp Precision Metals GmbH (Germany) for titanium pins and Himed (USA) for abrasive materials.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kern w:val="0"/>
          <w:sz w:val="22"/>
          <w:szCs w:val="22"/>
          <w:shd w:val="clear" w:fill="FFFFFF"/>
          <w:lang w:val="en-US" w:eastAsia="zh-CN" w:bidi="ar"/>
        </w:rPr>
        <w:t>Project Initiator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The Initiator is Qazaq Implant LLP, which was created in 2023 to implement the Project. Its key personnel have many years of experience in selling implants and dental equipment.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Market overview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In 2022, the global dental implant market was worth 4.7 billion USD. According to Technavio, this figure will reach 6.5 billion USD by 2027, with CAGR of 6.8% in 2023-2027. In 2022, the global dental market was worth 471 billion USD, and is due to reach 657 billion USD in 2027.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In 2022, the dental market in Kazakhstan was worth 370 million USD (+82% from 2021), of which Astana and Almaty accounted for 38%.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What is the attractiveness of the project?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Advantageous location.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 Having production based in the ITS SEZ will help cover the major consumer markets in the Almaty agglomeration. In addition, access to a well-developed and extensive rail and road network, and the Almaty international airport all benefit the supply of materials, as well as finished products to consumers.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Import substitution with Kazakhstan products.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 The launch of a new plant will help stabilize the supply of Kazakhstan-made dental implants at a competitive price, significantly reducing import dependence. Furthermore, the use of production equipment from Japan, titanium rods from Germany and abrasive materials from the USA will help ensure product quality.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212529"/>
          <w:spacing w:val="0"/>
          <w:kern w:val="0"/>
          <w:sz w:val="22"/>
          <w:szCs w:val="22"/>
          <w:shd w:val="clear" w:fill="FFFFFF"/>
          <w:lang w:val="en-US" w:eastAsia="zh-CN" w:bidi="ar"/>
        </w:rPr>
        <w:t>Investment proposal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The Project requires investment of 2,200 thousand USD (at the rate of 449.2 tenge), of which: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70% (1,540 thousand USD) – debt financing subject to collateral;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  <w:jc w:val="both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30% (660 thousand USD) – investor participation.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The proposed financing structure and state support measures are indicative. The final financing structure and Project interests will be determined based on the results of negotiations with the investor.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eastAsia" w:ascii="sans-serif" w:hAnsi="sans-serif" w:eastAsia="宋体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eastAsia="zh-CN"/>
        </w:rPr>
      </w:pPr>
      <w:bookmarkStart w:id="0" w:name="_GoBack"/>
      <w:r>
        <w:rPr>
          <w:rFonts w:hint="eastAsia" w:ascii="sans-serif" w:hAnsi="sans-serif" w:eastAsia="宋体" w:cs="sans-serif"/>
          <w:i w:val="0"/>
          <w:iCs w:val="0"/>
          <w:caps w:val="0"/>
          <w:color w:val="212529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5267960" cy="2630170"/>
            <wp:effectExtent l="0" t="0" r="8890" b="1778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D9785"/>
    <w:multiLevelType w:val="multilevel"/>
    <w:tmpl w:val="C42D97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D92E739F"/>
    <w:multiLevelType w:val="multilevel"/>
    <w:tmpl w:val="D92E739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003A16F1"/>
    <w:multiLevelType w:val="multilevel"/>
    <w:tmpl w:val="003A16F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2D53C7D4"/>
    <w:multiLevelType w:val="multilevel"/>
    <w:tmpl w:val="2D53C7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mI2NTdhNDNiNjgzZTNjYTRkY2VhMzkzNWQ0ZTMifQ=="/>
  </w:docVars>
  <w:rsids>
    <w:rsidRoot w:val="6AD628E8"/>
    <w:rsid w:val="6A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2024-02-26T11:43:00Z</dcterms:created>
  <dc:creator>迪</dc:creator>
  <cp:lastModifiedBy>迪</cp:lastModifiedBy>
  <dcterms:modified xsi:type="dcterms:W3CDTF">2024-02-26T11:46:00Z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BE0F09208BAA4838AC1F486E97CDF8CE_11</vt:lpwstr>
  </property>
</Properties>
</file>